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91" w:rsidRPr="00AB029C" w:rsidRDefault="002F3291" w:rsidP="00AB029C">
      <w:pPr>
        <w:shd w:val="clear" w:color="auto" w:fill="FFFFFF"/>
        <w:spacing w:after="0" w:line="35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</w:pPr>
      <w:r w:rsidRPr="00AB029C">
        <w:rPr>
          <w:rFonts w:ascii="Times New Roman" w:eastAsia="Times New Roman" w:hAnsi="Times New Roman" w:cs="Times New Roman"/>
          <w:b/>
          <w:bCs/>
          <w:caps/>
          <w:color w:val="333333"/>
          <w:lang w:val="uk-UA" w:eastAsia="ru-RU"/>
        </w:rPr>
        <w:t>Пам’ятка</w:t>
      </w:r>
    </w:p>
    <w:p w:rsidR="00014CA5" w:rsidRPr="00AB029C" w:rsidRDefault="00014CA5" w:rsidP="005A7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AB029C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 xml:space="preserve">щодо заборон і обмежень для </w:t>
      </w:r>
      <w:r w:rsidR="002F3291" w:rsidRPr="00AB029C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осіб, уповноважених на виконан</w:t>
      </w:r>
      <w:r w:rsidR="005A7EFE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н</w:t>
      </w:r>
      <w:r w:rsidR="002F3291" w:rsidRPr="00AB029C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я функцій держави або місцевого самоврядування та прирівняних до них осіб</w:t>
      </w:r>
      <w:r w:rsidRPr="00AB029C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 xml:space="preserve"> згідно із Законом України «Про запобігання корупції»</w:t>
      </w:r>
    </w:p>
    <w:tbl>
      <w:tblPr>
        <w:tblW w:w="10128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3203"/>
        <w:gridCol w:w="5212"/>
      </w:tblGrid>
      <w:tr w:rsidR="00014CA5" w:rsidRPr="00D77E50" w:rsidTr="00E2278A">
        <w:trPr>
          <w:trHeight w:val="142"/>
        </w:trPr>
        <w:tc>
          <w:tcPr>
            <w:tcW w:w="1713" w:type="dxa"/>
            <w:shd w:val="clear" w:color="auto" w:fill="1C97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CA5" w:rsidRPr="00D77E50" w:rsidRDefault="00014CA5" w:rsidP="00014C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 w:eastAsia="ru-RU"/>
              </w:rPr>
              <w:t>Обмеження</w:t>
            </w:r>
          </w:p>
        </w:tc>
        <w:tc>
          <w:tcPr>
            <w:tcW w:w="3203" w:type="dxa"/>
            <w:shd w:val="clear" w:color="auto" w:fill="1C97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CA5" w:rsidRPr="00D77E50" w:rsidRDefault="00014CA5" w:rsidP="00014CA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 w:eastAsia="ru-RU"/>
              </w:rPr>
              <w:t>Суть обмеження чи інших дій (заборони, зобов’язання тощо)</w:t>
            </w:r>
          </w:p>
        </w:tc>
        <w:tc>
          <w:tcPr>
            <w:tcW w:w="5212" w:type="dxa"/>
            <w:shd w:val="clear" w:color="auto" w:fill="1C97D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CA5" w:rsidRPr="00D77E50" w:rsidRDefault="00014CA5" w:rsidP="00D77E50">
            <w:pPr>
              <w:spacing w:after="0" w:line="20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 w:eastAsia="ru-RU"/>
              </w:rPr>
            </w:pPr>
            <w:proofErr w:type="spellStart"/>
            <w:r w:rsidRPr="00D77E5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uk-UA" w:eastAsia="ru-RU"/>
              </w:rPr>
              <w:t>Довідково</w:t>
            </w:r>
            <w:proofErr w:type="spellEnd"/>
          </w:p>
        </w:tc>
      </w:tr>
      <w:tr w:rsidR="00014CA5" w:rsidRPr="00D77E50" w:rsidTr="00E2278A">
        <w:trPr>
          <w:trHeight w:val="142"/>
        </w:trPr>
        <w:tc>
          <w:tcPr>
            <w:tcW w:w="17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CA5" w:rsidRPr="00D77E50" w:rsidRDefault="00014CA5" w:rsidP="0001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2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CA5" w:rsidRPr="00D77E50" w:rsidRDefault="00014CA5" w:rsidP="0001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52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4CA5" w:rsidRPr="00D77E50" w:rsidRDefault="00014CA5" w:rsidP="00D77E50">
            <w:pPr>
              <w:spacing w:after="0" w:line="200" w:lineRule="atLeast"/>
              <w:ind w:right="63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  <w:t>3</w:t>
            </w:r>
          </w:p>
        </w:tc>
      </w:tr>
      <w:tr w:rsidR="00D77E50" w:rsidRPr="00D77E50" w:rsidTr="00E2278A">
        <w:trPr>
          <w:trHeight w:val="3764"/>
        </w:trPr>
        <w:tc>
          <w:tcPr>
            <w:tcW w:w="171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E50" w:rsidRPr="002F3291" w:rsidRDefault="00D77E50" w:rsidP="0001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</w:pPr>
            <w:r w:rsidRPr="002F329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>Конфлікт інтересів</w:t>
            </w:r>
          </w:p>
          <w:p w:rsidR="00D77E50" w:rsidRPr="00D77E50" w:rsidRDefault="00D77E50" w:rsidP="0001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2F32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(розділ V)</w:t>
            </w:r>
          </w:p>
        </w:tc>
        <w:tc>
          <w:tcPr>
            <w:tcW w:w="32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E50" w:rsidRPr="00D77E50" w:rsidRDefault="00D77E50" w:rsidP="00C0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Забороняється:</w:t>
            </w:r>
          </w:p>
          <w:p w:rsidR="00D77E50" w:rsidRDefault="00D77E50" w:rsidP="00D77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5A7EF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 xml:space="preserve">- вчиняти дії та приймати рішення 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в умовах реального конфлікту інтересів;</w:t>
            </w:r>
          </w:p>
          <w:p w:rsidR="00D77E50" w:rsidRPr="00D77E50" w:rsidRDefault="00D77E50" w:rsidP="00C07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52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E50" w:rsidRPr="002F3291" w:rsidRDefault="002F3291" w:rsidP="002F3291">
            <w:pPr>
              <w:spacing w:after="0" w:line="200" w:lineRule="atLeast"/>
              <w:ind w:right="63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</w:pPr>
            <w:r w:rsidRPr="002F329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>НЕОБХІДНО</w:t>
            </w:r>
          </w:p>
          <w:p w:rsidR="002F3291" w:rsidRPr="002F3291" w:rsidRDefault="002F3291" w:rsidP="002F3291">
            <w:pPr>
              <w:spacing w:after="0" w:line="200" w:lineRule="atLeast"/>
              <w:ind w:right="6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2F32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</w:t>
            </w:r>
            <w:r w:rsidRPr="005A7EF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>вживати заходів</w:t>
            </w:r>
            <w:r w:rsidRPr="002F32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щодо недопущення виникнення реального, потенційного конфлікту інтересів;</w:t>
            </w:r>
          </w:p>
          <w:p w:rsidR="002F3291" w:rsidRDefault="002F3291" w:rsidP="002F3291">
            <w:pPr>
              <w:spacing w:after="0" w:line="200" w:lineRule="atLeast"/>
              <w:ind w:right="6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5A7EF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>- повідомляти не пізніше наступного робочого дня</w:t>
            </w:r>
            <w:r w:rsidRPr="002F32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з моменту, коли особа дізналася чи повинна була дізнатися про наявність у неї реального чи потенційного конфлікту інтересів </w:t>
            </w:r>
            <w:r w:rsidRPr="005A7EF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>безпосереднього керівника</w:t>
            </w:r>
            <w:r w:rsidRPr="002F32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, а у випадку перебування особи на посаді, яка не передбачає наявності у неї безпосереднього керівника, або в колегіальному органі - Національне агентство чи інший визначений законом орган </w:t>
            </w:r>
            <w:r w:rsidRPr="005A7EF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>або колегіальний орган</w:t>
            </w:r>
            <w:r w:rsidRPr="002F32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, під час виконання повноважень у якому виник конфлікт інтересів, відповідно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;</w:t>
            </w:r>
          </w:p>
          <w:p w:rsidR="002F3291" w:rsidRPr="002F3291" w:rsidRDefault="002F3291" w:rsidP="002F3291">
            <w:pPr>
              <w:spacing w:after="0" w:line="200" w:lineRule="atLeast"/>
              <w:ind w:right="6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- вжити заходів щодо врегулювання реального чи потенційного конфлікту інтересів.</w:t>
            </w:r>
          </w:p>
        </w:tc>
      </w:tr>
      <w:tr w:rsidR="00D77E50" w:rsidRPr="00D77E50" w:rsidTr="00E2278A">
        <w:trPr>
          <w:trHeight w:val="1818"/>
        </w:trPr>
        <w:tc>
          <w:tcPr>
            <w:tcW w:w="1713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E50" w:rsidRPr="00D77E50" w:rsidRDefault="00D77E50" w:rsidP="0001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val="uk-UA" w:eastAsia="ru-RU"/>
              </w:rPr>
            </w:pPr>
          </w:p>
        </w:tc>
        <w:tc>
          <w:tcPr>
            <w:tcW w:w="32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7EFE" w:rsidRPr="00D77E50" w:rsidRDefault="005A7EFE" w:rsidP="005A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Забороняється:</w:t>
            </w:r>
          </w:p>
          <w:p w:rsidR="00D77E50" w:rsidRPr="00D77E50" w:rsidRDefault="00D77E50" w:rsidP="00C0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- прямо чи опосередковано </w:t>
            </w:r>
            <w:r w:rsidRPr="005A7EF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>спонукати у будь-який спосіб підлеглих до прийняття рішень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, вчинення дій або бездіяльності всупереч закону на користь своїх приватних інтересів або приватних інтересів третіх осіб</w:t>
            </w:r>
          </w:p>
        </w:tc>
        <w:tc>
          <w:tcPr>
            <w:tcW w:w="52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E50" w:rsidRPr="00D77E50" w:rsidRDefault="00D77E50" w:rsidP="00D77E50">
            <w:pPr>
              <w:spacing w:after="0" w:line="200" w:lineRule="atLeast"/>
              <w:ind w:right="63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</w:p>
        </w:tc>
      </w:tr>
      <w:tr w:rsidR="00D77E50" w:rsidRPr="00D77E50" w:rsidTr="00E2278A">
        <w:trPr>
          <w:trHeight w:val="193"/>
        </w:trPr>
        <w:tc>
          <w:tcPr>
            <w:tcW w:w="1713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E50" w:rsidRPr="00D77E50" w:rsidRDefault="00D77E50" w:rsidP="0001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val="uk-UA" w:eastAsia="ru-RU"/>
              </w:rPr>
            </w:pPr>
          </w:p>
        </w:tc>
        <w:tc>
          <w:tcPr>
            <w:tcW w:w="32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7EFE" w:rsidRPr="00D77E50" w:rsidRDefault="005A7EFE" w:rsidP="005A7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Забороняється:</w:t>
            </w:r>
          </w:p>
          <w:p w:rsidR="00D77E50" w:rsidRPr="00D77E50" w:rsidRDefault="00D77E50" w:rsidP="00D77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</w:t>
            </w:r>
            <w:r w:rsidRPr="005A7EF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 xml:space="preserve">особі, яка входить до складу </w:t>
            </w:r>
            <w:r w:rsidRPr="005A7EF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колегіального органу</w:t>
            </w:r>
            <w:r w:rsidRPr="00D77E5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  <w:t xml:space="preserve"> (комітету, комісії, колегії тощо)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  <w:t xml:space="preserve"> брати участь у прийнятті рішення цим органом у разі виникнення реального чи потенційного конфлікту інтересів</w:t>
            </w:r>
          </w:p>
        </w:tc>
        <w:tc>
          <w:tcPr>
            <w:tcW w:w="52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E50" w:rsidRDefault="00D77E50" w:rsidP="008B7D2C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ДОЗВОЛЯЄТЬСЯ</w:t>
            </w:r>
          </w:p>
          <w:p w:rsidR="00D77E50" w:rsidRDefault="009E3F04" w:rsidP="008B7D2C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  <w:t xml:space="preserve">під зовнішнім контролем, </w:t>
            </w:r>
            <w:r w:rsidR="00D77E5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  <w:t>у разі, якщо неучасть особи</w:t>
            </w:r>
            <w:r w:rsidR="00D77E50" w:rsidRPr="00D77E5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  <w:t xml:space="preserve">, яка входить до складу колегіального органу (комітету, комісії, колегії тощо)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  <w:t>призведе до втрати правомочності цим органом</w:t>
            </w:r>
          </w:p>
          <w:p w:rsidR="002F3291" w:rsidRPr="002F3291" w:rsidRDefault="002F3291" w:rsidP="002F3291">
            <w:pPr>
              <w:spacing w:after="0" w:line="200" w:lineRule="atLeast"/>
              <w:ind w:right="63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</w:pPr>
            <w:r w:rsidRPr="002F329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>НЕОБХІДНО</w:t>
            </w:r>
          </w:p>
          <w:p w:rsidR="002F3291" w:rsidRDefault="002F3291" w:rsidP="008B7D2C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заявити про наявність конфлікту інтересів самостійно або таку заяву може зробити будь-який інший член відповідного колегіального органу або учасник засідання;</w:t>
            </w:r>
          </w:p>
          <w:p w:rsidR="002F3291" w:rsidRPr="00D77E50" w:rsidRDefault="002F3291" w:rsidP="002F3291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2F329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>для міського голови, секретаря ради та депутатів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– </w:t>
            </w:r>
            <w:r w:rsidRPr="002F329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>дозволяється за умови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самостійно публічного оголошення про наявність конфлікту інтересів під час засідання ради, на якому розглядається відповідне питання</w:t>
            </w:r>
          </w:p>
          <w:p w:rsidR="00D77E50" w:rsidRPr="00D77E50" w:rsidRDefault="00D77E50" w:rsidP="002F3291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</w:p>
        </w:tc>
      </w:tr>
      <w:tr w:rsidR="00D77E50" w:rsidRPr="00D77E50" w:rsidTr="00E2278A">
        <w:trPr>
          <w:trHeight w:val="142"/>
        </w:trPr>
        <w:tc>
          <w:tcPr>
            <w:tcW w:w="17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E50" w:rsidRPr="00D77E50" w:rsidRDefault="00D77E50" w:rsidP="00D77E50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>Обмеження щодо використання службових повноважень чи свого становища</w:t>
            </w:r>
          </w:p>
          <w:p w:rsidR="00D77E50" w:rsidRPr="00D77E50" w:rsidRDefault="00D77E50" w:rsidP="00D77E50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(ст. 22)</w:t>
            </w:r>
          </w:p>
          <w:p w:rsidR="00D77E50" w:rsidRPr="00D77E50" w:rsidRDefault="00D77E50" w:rsidP="00D77E5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32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E50" w:rsidRDefault="00D77E50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Забороняється </w:t>
            </w:r>
            <w:r w:rsidRPr="00D77E5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  <w:t>використовувати свої службові повноваження або своє становище та пов’язані з цим можливості з метою одержання неправомірної вигоди для себе чи інших осіб, у тому числі використовувати будь-яке державне чи комунальне майно або кошти в приватних інтересах.</w:t>
            </w:r>
          </w:p>
          <w:p w:rsidR="00E2278A" w:rsidRDefault="00E2278A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</w:pPr>
          </w:p>
          <w:p w:rsidR="005A7EFE" w:rsidRPr="00D77E50" w:rsidRDefault="005A7EFE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52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E50" w:rsidRPr="00D77E50" w:rsidRDefault="00D77E50" w:rsidP="00D77E50">
            <w:pPr>
              <w:spacing w:after="0" w:line="200" w:lineRule="atLeast"/>
              <w:ind w:right="63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</w:p>
        </w:tc>
      </w:tr>
      <w:tr w:rsidR="00D77E50" w:rsidRPr="002678C1" w:rsidTr="00E2278A">
        <w:trPr>
          <w:trHeight w:val="142"/>
        </w:trPr>
        <w:tc>
          <w:tcPr>
            <w:tcW w:w="17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78C1" w:rsidRDefault="00D77E50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lastRenderedPageBreak/>
              <w:t xml:space="preserve">Обмеження щодо одержання подарунків </w:t>
            </w:r>
          </w:p>
          <w:p w:rsidR="00D77E50" w:rsidRPr="00D77E50" w:rsidRDefault="00D77E50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(ст. 23)</w:t>
            </w:r>
          </w:p>
        </w:tc>
        <w:tc>
          <w:tcPr>
            <w:tcW w:w="32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E50" w:rsidRPr="00D77E50" w:rsidRDefault="00D77E50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Забороняється</w:t>
            </w:r>
          </w:p>
          <w:p w:rsidR="00D77E50" w:rsidRPr="00D77E50" w:rsidRDefault="00D77E50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вимагати, просити, одержувати подарунки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(безпосередньо або через інших осіб) для себе чи близьких осіб від юридичних або фізичних осіб:</w:t>
            </w:r>
          </w:p>
          <w:p w:rsidR="00D77E50" w:rsidRPr="00D77E50" w:rsidRDefault="00D77E50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– у зв’язку із здійсненням діяльності, пов’язаної із виконанням функцій держави або місцевого самоврядування;</w:t>
            </w:r>
          </w:p>
          <w:p w:rsidR="00D77E50" w:rsidRPr="00D77E50" w:rsidRDefault="00D77E50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– якщо особа, яка дарує 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перебуває в підпорядкуванні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2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E50" w:rsidRPr="00D77E50" w:rsidRDefault="00D77E50" w:rsidP="00D77E50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ДОЗВОЛЯЄТЬСЯ</w:t>
            </w:r>
          </w:p>
          <w:p w:rsidR="00D77E50" w:rsidRPr="00D77E50" w:rsidRDefault="00D77E50" w:rsidP="00D77E50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приймати дарунки якщо:</w:t>
            </w:r>
          </w:p>
          <w:p w:rsidR="00D77E50" w:rsidRPr="00D77E50" w:rsidRDefault="00D77E50" w:rsidP="00D77E50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– подарунки відповідають загальновизнаним уявленням про гостинність та:</w:t>
            </w:r>
          </w:p>
          <w:p w:rsidR="00D77E50" w:rsidRPr="00D77E50" w:rsidRDefault="00D77E50" w:rsidP="00D77E50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– 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одноразово 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вартість подарунків 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не перевищує 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мінімальної заробітної плати, встановленої на день прийняття подарунка (станом на 01.01.2016 року </w:t>
            </w:r>
            <w:proofErr w:type="spellStart"/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–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не</w:t>
            </w:r>
            <w:proofErr w:type="spellEnd"/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 більше 1378 грн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. З 01.05.2016 – 1450 грн.), а</w:t>
            </w:r>
          </w:p>
          <w:p w:rsidR="00D77E50" w:rsidRPr="00D77E50" w:rsidRDefault="00D77E50" w:rsidP="00D77E50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– 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сукупна вартість по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дарунків, отриманих 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від однієї особи </w:t>
            </w:r>
            <w:r w:rsidRPr="00D77E5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  <w:t>(групи осіб)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 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протягом року не перевищує двох прожиткових мінімумів, встановлених для працездатної особи на 01 січня того року, в якому прийнято подарунки (станом на 01.01.2016 року – 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не більше 1378 грн.)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;</w:t>
            </w:r>
          </w:p>
          <w:p w:rsidR="00D77E50" w:rsidRPr="00D77E50" w:rsidRDefault="00D77E50" w:rsidP="00D77E50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– даруються (здійснюються) 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близькими особами </w:t>
            </w:r>
            <w:r w:rsidRPr="00D77E5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uk-UA" w:eastAsia="ru-RU"/>
              </w:rPr>
              <w:t>(особи, які спільно проживають, пов’язані спільним побутом і мають взаємні права та обов’язки із суб’єктом, на яких поширюється дія </w:t>
            </w:r>
            <w:hyperlink r:id="rId7" w:tgtFrame="_blank" w:history="1">
              <w:r w:rsidRPr="00D77E50">
                <w:rPr>
                  <w:rStyle w:val="a7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val="uk-UA" w:eastAsia="ru-RU"/>
                </w:rPr>
                <w:t>Закону № 1700</w:t>
              </w:r>
            </w:hyperlink>
            <w:r w:rsidRPr="00D77E5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uk-UA" w:eastAsia="ru-RU"/>
              </w:rPr>
              <w:t> 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val="uk-UA" w:eastAsia="ru-RU"/>
              </w:rPr>
              <w:t>(крім осіб, взаємні права та обов’язки яких із суб’єктом не мають характеру сімейних)</w:t>
            </w:r>
            <w:r w:rsidRPr="00D77E5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uk-UA" w:eastAsia="ru-RU"/>
              </w:rPr>
              <w:t xml:space="preserve">, у тому числі особи, які спільно проживають, але не перебувають у шлюбі, 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val="uk-UA" w:eastAsia="ru-RU"/>
              </w:rPr>
              <w:t>а також незалежно від зазначених умов</w:t>
            </w:r>
            <w:r w:rsidRPr="00D77E5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uk-UA" w:eastAsia="ru-RU"/>
              </w:rPr>
              <w:t xml:space="preserve"> — чоловік, дружина, батько, мати, вітчим, мачуха, син, дочка, пасинок, падчерка, рідний брат, рідна сестра, дід, баба, прадід, прабаба, внук, внучка, правнук, правнучка, зять, невістка, тесть, теща, свекор, свекруха, </w:t>
            </w:r>
            <w:proofErr w:type="spellStart"/>
            <w:r w:rsidRPr="00D77E5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uk-UA" w:eastAsia="ru-RU"/>
              </w:rPr>
              <w:t>усиновлювач</w:t>
            </w:r>
            <w:proofErr w:type="spellEnd"/>
            <w:r w:rsidRPr="00D77E50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val="uk-UA" w:eastAsia="ru-RU"/>
              </w:rPr>
              <w:t xml:space="preserve"> чи усиновлений, опікун чи піклувальник, особа, яка перебуває під опікою або піклуванням згаданого суб’єкта);</w:t>
            </w:r>
          </w:p>
          <w:p w:rsidR="00D77E50" w:rsidRPr="00D77E50" w:rsidRDefault="00D77E50" w:rsidP="00D77E50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– 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одержуються як загальнодоступні знижки 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на товари, послуги, загальнодоступні виграші, призи, премії, бонуси.</w:t>
            </w:r>
          </w:p>
          <w:p w:rsidR="00D77E50" w:rsidRPr="00D77E50" w:rsidRDefault="00D77E50" w:rsidP="00D77E50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Подарунки, одержані, як подарунки державі, Автономній Республіці Крим, територіальній громаді, державним або комунальним підприємствам, установам чи організаціям, є відповідно державною або комунальною власністю і передаються органу, підприємству, установі чи організації у </w:t>
            </w:r>
            <w:hyperlink r:id="rId8" w:anchor="n76" w:tgtFrame="_blank" w:history="1">
              <w:r w:rsidRPr="00D77E5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порядку</w:t>
              </w:r>
            </w:hyperlink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, визначеному Кабінетом Міністрів України.</w:t>
            </w:r>
          </w:p>
          <w:p w:rsidR="00D77E50" w:rsidRPr="00D77E50" w:rsidRDefault="00D77E50" w:rsidP="00D77E50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bookmarkStart w:id="1" w:name="n322"/>
            <w:bookmarkEnd w:id="1"/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Рішення, прийняте на користь особи, від якої чи її близьких особи отримано подарунок, вважаються такими, що прийняті в умовах конфлікту інтересів, і на ці рішення розповсюджуються положення </w:t>
            </w:r>
            <w:hyperlink r:id="rId9" w:anchor="n712" w:history="1">
              <w:r w:rsidRPr="00D77E5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статті 67</w:t>
              </w:r>
            </w:hyperlink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 Закону (незаконні).</w:t>
            </w:r>
          </w:p>
        </w:tc>
      </w:tr>
      <w:tr w:rsidR="00D77E50" w:rsidRPr="002678C1" w:rsidTr="00E2278A">
        <w:trPr>
          <w:trHeight w:val="1411"/>
        </w:trPr>
        <w:tc>
          <w:tcPr>
            <w:tcW w:w="171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E50" w:rsidRPr="00D77E50" w:rsidRDefault="00D77E50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Обмеження щодо сумісництва та суміщення з іншими видами діяльності</w:t>
            </w:r>
          </w:p>
          <w:p w:rsidR="00D77E50" w:rsidRPr="00D77E50" w:rsidRDefault="00D77E50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(ст. 25)</w:t>
            </w:r>
          </w:p>
        </w:tc>
        <w:tc>
          <w:tcPr>
            <w:tcW w:w="32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E50" w:rsidRPr="00D77E50" w:rsidRDefault="00D77E50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Забороняється (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якщо інше не передбачено </w:t>
            </w:r>
            <w:hyperlink r:id="rId10" w:tgtFrame="_blank" w:history="1">
              <w:r w:rsidRPr="00D77E50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uk-UA" w:eastAsia="ru-RU"/>
                </w:rPr>
                <w:t>Конституцією</w:t>
              </w:r>
            </w:hyperlink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або законами України):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 </w:t>
            </w:r>
          </w:p>
          <w:p w:rsidR="00D77E50" w:rsidRPr="00E2278A" w:rsidRDefault="00E2278A" w:rsidP="00E2278A">
            <w:pPr>
              <w:tabs>
                <w:tab w:val="left" w:pos="386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E2278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 </w:t>
            </w:r>
            <w:r w:rsidR="00D77E50" w:rsidRPr="00E2278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займатися </w:t>
            </w:r>
            <w:r w:rsidR="00D77E50" w:rsidRPr="00E227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іншою оплачуваною або підприємницькою діяльністю.</w:t>
            </w:r>
          </w:p>
        </w:tc>
        <w:tc>
          <w:tcPr>
            <w:tcW w:w="52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E50" w:rsidRPr="00D77E50" w:rsidRDefault="00D77E50" w:rsidP="00D77E50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ДОЗВОЛЯЄТЬСЯ</w:t>
            </w:r>
          </w:p>
          <w:p w:rsidR="00D77E50" w:rsidRPr="00D77E50" w:rsidRDefault="00D77E50" w:rsidP="00D77E50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займатися викладацькою, науковою і творчою діяльністю, медичною практикою, інструкторською та суддівською практикою із спорту.</w:t>
            </w:r>
          </w:p>
        </w:tc>
      </w:tr>
      <w:tr w:rsidR="00D77E50" w:rsidRPr="002678C1" w:rsidTr="00E2278A">
        <w:trPr>
          <w:trHeight w:val="142"/>
        </w:trPr>
        <w:tc>
          <w:tcPr>
            <w:tcW w:w="1713" w:type="dxa"/>
            <w:vMerge/>
            <w:shd w:val="clear" w:color="auto" w:fill="FFFFFF"/>
            <w:vAlign w:val="center"/>
            <w:hideMark/>
          </w:tcPr>
          <w:p w:rsidR="00D77E50" w:rsidRPr="00D77E50" w:rsidRDefault="00D77E50" w:rsidP="00D77E50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32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E50" w:rsidRPr="00D77E50" w:rsidRDefault="00D77E50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- входити до складу 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правління, інших виконавчих чи контрольних органів, наглядової ради підприємства або організації, що має на меті одержання прибутку (крім випадків, коли особи здійснюють функції з управління акціями (частками, паями), що належать державі чи територіальній громаді, та представляють інтереси держави чи територіальної громади в раді (спостережній раді), ревізійній комісії господарської організації), </w:t>
            </w:r>
          </w:p>
        </w:tc>
        <w:tc>
          <w:tcPr>
            <w:tcW w:w="52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E50" w:rsidRPr="00D77E50" w:rsidRDefault="00D77E50" w:rsidP="00D77E50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ДОЗВОЛЯЄТЬСЯ</w:t>
            </w:r>
          </w:p>
          <w:p w:rsidR="00D77E50" w:rsidRPr="00D77E50" w:rsidRDefault="00D77E50" w:rsidP="00D77E50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здійснювати функції з управління акціями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(частками, паями), що належать державі чи територіальній громаді, та</w:t>
            </w:r>
            <w:r w:rsidR="002647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представляти інтереси держави 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чи територіальної громади в раді товариства (спостережній раді), ревізійній комісії господарської організації.</w:t>
            </w:r>
          </w:p>
          <w:p w:rsidR="00D77E50" w:rsidRPr="00D77E50" w:rsidRDefault="00D77E50" w:rsidP="00D77E50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>Обмеження не поширюються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на депутатів Верховної Ради Автономної Республіки Крим, депутатів місцевих рад (крім тих, які здійснюють свої повноваження у відповідній раді на постійній основі).</w:t>
            </w:r>
          </w:p>
        </w:tc>
      </w:tr>
      <w:tr w:rsidR="00D77E50" w:rsidRPr="002678C1" w:rsidTr="00E2278A">
        <w:trPr>
          <w:trHeight w:val="142"/>
        </w:trPr>
        <w:tc>
          <w:tcPr>
            <w:tcW w:w="17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E50" w:rsidRPr="00D77E50" w:rsidRDefault="00D77E50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lastRenderedPageBreak/>
              <w:t xml:space="preserve">Обмеження після припинення діяльності, пов’язаної з виконанням функцій держави, місцевого самоврядування </w:t>
            </w:r>
            <w:r w:rsidRPr="00D77E5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  <w:t>(ст. 26)</w:t>
            </w:r>
          </w:p>
        </w:tc>
        <w:tc>
          <w:tcPr>
            <w:tcW w:w="32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E50" w:rsidRPr="00D77E50" w:rsidRDefault="00D77E50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Забороняється </w:t>
            </w:r>
          </w:p>
          <w:p w:rsidR="00D77E50" w:rsidRPr="00D77E50" w:rsidRDefault="00D77E50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  <w:t xml:space="preserve">1) протягом року з дня припинення відповідної діяльності </w:t>
            </w:r>
            <w:r w:rsidRPr="002F329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укладати трудові договори (контракти)</w:t>
            </w:r>
            <w:r w:rsidRPr="00D77E5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  <w:t xml:space="preserve"> або вчиняти правочини у сфері підприємницької діяльності з юридичними особами приватного права або фізичними особами - підприємцями, якщо протягом року до дня припинення виконання функцій держави або місцевого самоврядування Ви здійснювали повноваження з контролю, нагляду або підготовки чи прийняття відповідних рішень щодо діяльності цих юридичних осіб або фізичних осіб - підприємців;</w:t>
            </w:r>
          </w:p>
          <w:p w:rsidR="00D77E50" w:rsidRPr="00D77E50" w:rsidRDefault="00D77E50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</w:pPr>
            <w:bookmarkStart w:id="2" w:name="n343"/>
            <w:bookmarkEnd w:id="2"/>
            <w:r w:rsidRPr="00D77E5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  <w:t xml:space="preserve">2) </w:t>
            </w:r>
            <w:r w:rsidRPr="002F329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розголошувати або використовувати в інший спосіб</w:t>
            </w:r>
            <w:r w:rsidRPr="00D77E5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  <w:t xml:space="preserve"> у своїх інтересах </w:t>
            </w:r>
            <w:r w:rsidRPr="002F329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інформацію,</w:t>
            </w:r>
            <w:r w:rsidRPr="00D77E5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  <w:t xml:space="preserve"> яка стала відома у зв’язку з виконанням службових повноважень, крім випадків, встановлених законом;</w:t>
            </w:r>
          </w:p>
          <w:p w:rsidR="00D77E50" w:rsidRPr="00D77E50" w:rsidRDefault="00D77E50" w:rsidP="002F329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bookmarkStart w:id="3" w:name="n344"/>
            <w:bookmarkEnd w:id="3"/>
            <w:r w:rsidRPr="00D77E5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  <w:t xml:space="preserve">3) протягом року з дня припинення відповідної діяльності </w:t>
            </w:r>
            <w:r w:rsidRPr="002F329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представляти інтереси будь-якої особи у справах</w:t>
            </w:r>
            <w:r w:rsidRPr="00D77E5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  <w:t xml:space="preserve"> (у тому числі в тих, що розглядаються в судах), в яких іншою стороною є орган, підприємство, установа, організація, в якому (яких) працювали на момент припинення зазначеної діяльності.</w:t>
            </w:r>
          </w:p>
        </w:tc>
        <w:tc>
          <w:tcPr>
            <w:tcW w:w="52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E50" w:rsidRPr="00D77E50" w:rsidRDefault="00D77E50" w:rsidP="00D77E50">
            <w:pPr>
              <w:spacing w:after="0" w:line="200" w:lineRule="atLeast"/>
              <w:ind w:right="6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Порушення обмеження щодо укладення трудового договору (контракту) є підставою для припинення відповідного договору.</w:t>
            </w:r>
          </w:p>
          <w:p w:rsidR="00D77E50" w:rsidRPr="00D77E50" w:rsidRDefault="00D77E50" w:rsidP="00D77E50">
            <w:pPr>
              <w:spacing w:after="0" w:line="200" w:lineRule="atLeast"/>
              <w:ind w:right="6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bookmarkStart w:id="4" w:name="n346"/>
            <w:bookmarkEnd w:id="4"/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Правочини у сфері підприємницької діяльності, вчинені з порушенням вимог цієї статті, можуть бути визнані недійсними.</w:t>
            </w:r>
          </w:p>
          <w:p w:rsidR="00D77E50" w:rsidRPr="00D77E50" w:rsidRDefault="00D77E50" w:rsidP="00D77E50">
            <w:pPr>
              <w:spacing w:after="0" w:line="200" w:lineRule="atLeast"/>
              <w:ind w:right="6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</w:p>
        </w:tc>
      </w:tr>
      <w:tr w:rsidR="00D77E50" w:rsidRPr="002678C1" w:rsidTr="00E2278A">
        <w:trPr>
          <w:trHeight w:val="142"/>
        </w:trPr>
        <w:tc>
          <w:tcPr>
            <w:tcW w:w="17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E50" w:rsidRPr="00D77E50" w:rsidRDefault="00D77E50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Обмеження щодо спільної роботи близьких осіб</w:t>
            </w:r>
          </w:p>
          <w:p w:rsidR="00D77E50" w:rsidRPr="00D77E50" w:rsidRDefault="00D77E50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(ст.27)</w:t>
            </w:r>
          </w:p>
          <w:p w:rsidR="00D77E50" w:rsidRPr="00D77E50" w:rsidRDefault="00D77E50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uk-UA" w:eastAsia="ru-RU"/>
              </w:rPr>
              <w:t>Розповсюджується на осіб, зазначених у пп. а, в-з п. 1 ч.1 ст. 3 Закону</w:t>
            </w:r>
          </w:p>
        </w:tc>
        <w:tc>
          <w:tcPr>
            <w:tcW w:w="32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E50" w:rsidRPr="00D77E50" w:rsidRDefault="00D77E50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Забороняється</w:t>
            </w:r>
          </w:p>
          <w:p w:rsidR="00D77E50" w:rsidRPr="00D77E50" w:rsidRDefault="00D77E50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мати у </w:t>
            </w:r>
            <w:r w:rsidRPr="00D77E5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 xml:space="preserve">прямому 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підпорядкуванні 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близьких осіб</w:t>
            </w:r>
          </w:p>
          <w:p w:rsidR="00D77E50" w:rsidRPr="00D77E50" w:rsidRDefault="00D77E50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або бути 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прямо підпорядкованим 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у зв'язку з виконанням повноважень близьким особам.</w:t>
            </w:r>
          </w:p>
        </w:tc>
        <w:tc>
          <w:tcPr>
            <w:tcW w:w="52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77E50" w:rsidRPr="00D77E50" w:rsidRDefault="00D77E50" w:rsidP="00D77E50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ДОЗВОЛЯЄТЬСЯ</w:t>
            </w:r>
          </w:p>
          <w:p w:rsidR="00D77E50" w:rsidRPr="00D77E50" w:rsidRDefault="00D77E50" w:rsidP="00D77E50">
            <w:pPr>
              <w:pStyle w:val="a6"/>
              <w:numPr>
                <w:ilvl w:val="0"/>
                <w:numId w:val="2"/>
              </w:numPr>
              <w:tabs>
                <w:tab w:val="left" w:pos="291"/>
              </w:tabs>
              <w:spacing w:after="0" w:line="200" w:lineRule="atLeast"/>
              <w:ind w:left="7" w:right="63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народним засідателям і присяжним;</w:t>
            </w:r>
          </w:p>
          <w:p w:rsidR="00D77E50" w:rsidRPr="00D77E50" w:rsidRDefault="00D77E50" w:rsidP="00D77E50">
            <w:pPr>
              <w:pStyle w:val="a6"/>
              <w:numPr>
                <w:ilvl w:val="0"/>
                <w:numId w:val="2"/>
              </w:numPr>
              <w:tabs>
                <w:tab w:val="left" w:pos="291"/>
              </w:tabs>
              <w:spacing w:after="0" w:line="200" w:lineRule="atLeast"/>
              <w:ind w:left="7" w:right="62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близьким особам, які прямо підпорядковані один одному у зв’язку з набуттям одним з них  статусу виборної особи;</w:t>
            </w:r>
          </w:p>
          <w:p w:rsidR="00D77E50" w:rsidRPr="00D77E50" w:rsidRDefault="00D77E50" w:rsidP="00D77E50">
            <w:pPr>
              <w:pStyle w:val="a6"/>
              <w:numPr>
                <w:ilvl w:val="0"/>
                <w:numId w:val="2"/>
              </w:numPr>
              <w:tabs>
                <w:tab w:val="left" w:pos="291"/>
              </w:tabs>
              <w:spacing w:after="0" w:line="200" w:lineRule="atLeast"/>
              <w:ind w:left="7" w:right="62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особам, які працюють у гірських та сільських населених пунктах (крім районних центрів) </w:t>
            </w:r>
          </w:p>
          <w:p w:rsidR="00D77E50" w:rsidRPr="00D77E50" w:rsidRDefault="00D77E50" w:rsidP="00D77E50">
            <w:pPr>
              <w:pStyle w:val="a6"/>
              <w:tabs>
                <w:tab w:val="left" w:pos="291"/>
              </w:tabs>
              <w:spacing w:after="0" w:line="200" w:lineRule="atLeast"/>
              <w:ind w:left="7" w:right="6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НЕОБХІДНО:</w:t>
            </w:r>
          </w:p>
          <w:p w:rsidR="00D77E50" w:rsidRPr="00D77E50" w:rsidRDefault="00D77E50" w:rsidP="00D77E50">
            <w:pPr>
              <w:tabs>
                <w:tab w:val="left" w:pos="291"/>
              </w:tabs>
              <w:spacing w:after="0" w:line="200" w:lineRule="atLeast"/>
              <w:ind w:right="6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У разі виникнення зазначених обстави</w:t>
            </w:r>
            <w:r w:rsidR="007018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н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, вжити заходів щодо усунення таких обставин у п’ятнадцятиденний строк.</w:t>
            </w:r>
          </w:p>
          <w:p w:rsidR="00D77E50" w:rsidRPr="00D77E50" w:rsidRDefault="00D77E50" w:rsidP="00D77E50">
            <w:pPr>
              <w:tabs>
                <w:tab w:val="left" w:pos="291"/>
              </w:tabs>
              <w:spacing w:after="0" w:line="200" w:lineRule="atLeast"/>
              <w:ind w:right="6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Якщо в зазначений строк ці обставини добровільно не усунуто, відповідні особи або близькі їм особи в місячний строк з моменту виникнення обставин підлягають переведенню в установленому порядку на іншу посаду, що виключає пряме підпорядкування.</w:t>
            </w:r>
          </w:p>
          <w:p w:rsidR="00D77E50" w:rsidRPr="00D77E50" w:rsidRDefault="00D77E50" w:rsidP="00D77E50">
            <w:pPr>
              <w:tabs>
                <w:tab w:val="left" w:pos="291"/>
              </w:tabs>
              <w:spacing w:after="0" w:line="200" w:lineRule="atLeast"/>
              <w:ind w:right="62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У разі неможливості такого переведення особа, яка перебуває у підпорядкуванні, підлягає звільненню із займаної посади.</w:t>
            </w:r>
          </w:p>
          <w:p w:rsidR="00D77E50" w:rsidRDefault="00D77E50" w:rsidP="00D77E50">
            <w:pPr>
              <w:tabs>
                <w:tab w:val="left" w:pos="291"/>
              </w:tabs>
              <w:spacing w:after="0" w:line="200" w:lineRule="atLeast"/>
              <w:ind w:right="62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val="uk-UA" w:eastAsia="ru-RU"/>
              </w:rPr>
              <w:t>Пряме підпорядкування</w:t>
            </w:r>
            <w:r w:rsidRPr="00D77E50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uk-UA" w:eastAsia="ru-RU"/>
              </w:rPr>
              <w:t xml:space="preserve"> - відносини прямої організаційної або правової залежності підлеглої особи від її керівника, в тому числі через вирішення (участь у вирішенні) питань прийняття на роботу, звільнення з роботи, застосування заохочень, дисциплінарних стягнень, надання вказівок, доручень тощо, контролю за їх виконанням.</w:t>
            </w:r>
          </w:p>
          <w:p w:rsidR="00E2278A" w:rsidRPr="00D77E50" w:rsidRDefault="00E2278A" w:rsidP="00D77E50">
            <w:pPr>
              <w:tabs>
                <w:tab w:val="left" w:pos="291"/>
              </w:tabs>
              <w:spacing w:after="0" w:line="200" w:lineRule="atLeast"/>
              <w:ind w:right="62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val="uk-UA" w:eastAsia="ru-RU"/>
              </w:rPr>
            </w:pPr>
          </w:p>
        </w:tc>
      </w:tr>
      <w:tr w:rsidR="00D77E50" w:rsidRPr="00D77E50" w:rsidTr="00E2278A">
        <w:trPr>
          <w:trHeight w:val="142"/>
        </w:trPr>
        <w:tc>
          <w:tcPr>
            <w:tcW w:w="171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E50" w:rsidRPr="00D77E50" w:rsidRDefault="00D77E50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lastRenderedPageBreak/>
              <w:t>Фінансовий контроль</w:t>
            </w:r>
          </w:p>
          <w:p w:rsidR="00156138" w:rsidRDefault="00D77E50" w:rsidP="00156138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(ст. 12</w:t>
            </w:r>
            <w:r w:rsidR="003E34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Закону України «Про засади запобігання та протидії корупції»</w:t>
            </w:r>
            <w:r w:rsidR="001561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, </w:t>
            </w:r>
          </w:p>
          <w:p w:rsidR="00D77E50" w:rsidRPr="00D77E50" w:rsidRDefault="00156138" w:rsidP="00156138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ст. 45 – 50 Закону</w:t>
            </w:r>
            <w:r w:rsidR="00D77E50"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32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E50" w:rsidRPr="00D77E50" w:rsidRDefault="00D77E50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НЕОБХІДНО</w:t>
            </w:r>
          </w:p>
          <w:p w:rsidR="00D77E50" w:rsidRDefault="00D77E50" w:rsidP="00E2278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щорічно до 1 квітня</w:t>
            </w:r>
            <w:r w:rsidR="003E34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 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подавати 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Декларацію про майно, доходи, витрати і зобов'язання фінансового характеру</w:t>
            </w:r>
            <w:r w:rsidR="00E2278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, </w:t>
            </w:r>
            <w:r w:rsidR="003E34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 </w:t>
            </w:r>
            <w:r w:rsidR="00E227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за минулий рік:</w:t>
            </w:r>
          </w:p>
          <w:p w:rsidR="00E2278A" w:rsidRPr="00E2278A" w:rsidRDefault="00E2278A" w:rsidP="00E2278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E227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</w:t>
            </w:r>
            <w:r w:rsidRPr="00E227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працюючим – за місцем роботи;</w:t>
            </w:r>
          </w:p>
          <w:p w:rsidR="00E2278A" w:rsidRPr="00E2278A" w:rsidRDefault="00E2278A" w:rsidP="00E2278A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- </w:t>
            </w:r>
            <w:proofErr w:type="spellStart"/>
            <w:r w:rsidRPr="00E227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самозайнятим</w:t>
            </w:r>
            <w:proofErr w:type="spellEnd"/>
            <w:r w:rsidRPr="00E227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особам та пенсіонерам з числа депутатів – до виконкому міської ради</w:t>
            </w:r>
          </w:p>
        </w:tc>
        <w:tc>
          <w:tcPr>
            <w:tcW w:w="52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77E50" w:rsidRPr="00583716" w:rsidRDefault="00583716" w:rsidP="003127CD">
            <w:pPr>
              <w:spacing w:after="0" w:line="200" w:lineRule="atLeast"/>
              <w:ind w:right="6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Після прийняття рішення Національним агентством п</w:t>
            </w:r>
            <w:r w:rsidRPr="005837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ро початок роботи системи подання та оприлюднення декларацій осіб, уповноважених на виконання функцій держави або місцевого самоврядування</w:t>
            </w:r>
            <w:r w:rsidR="003127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</w:t>
            </w:r>
            <w:r w:rsidR="003127CD" w:rsidRPr="005837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відповідно до Закону</w:t>
            </w:r>
            <w:r w:rsidR="003127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№ 1700</w:t>
            </w:r>
            <w:r w:rsidR="003127CD" w:rsidRPr="005837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</w:t>
            </w:r>
            <w:r w:rsidR="002853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</w:t>
            </w:r>
            <w:r w:rsidR="002853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декларації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подаються в порядку </w:t>
            </w:r>
            <w:r w:rsidR="001561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ст.ст. 45-52 зазначеного закону (</w:t>
            </w:r>
            <w:r w:rsidR="00156138" w:rsidRPr="001561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шляхом заповнення на офіційному веб-сайті Національного агентства</w:t>
            </w:r>
            <w:r w:rsidR="001561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)</w:t>
            </w:r>
          </w:p>
        </w:tc>
      </w:tr>
      <w:tr w:rsidR="00156138" w:rsidRPr="00D77E50" w:rsidTr="00E2278A">
        <w:trPr>
          <w:trHeight w:val="142"/>
        </w:trPr>
        <w:tc>
          <w:tcPr>
            <w:tcW w:w="1713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6138" w:rsidRPr="00D77E50" w:rsidRDefault="00156138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32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6138" w:rsidRDefault="00156138" w:rsidP="00156138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НЕОБХІДНО</w:t>
            </w:r>
          </w:p>
          <w:p w:rsidR="00156138" w:rsidRPr="00156138" w:rsidRDefault="00156138" w:rsidP="00156138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</w:pPr>
            <w:r w:rsidRPr="0015613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 xml:space="preserve"> </w:t>
            </w:r>
            <w:r w:rsidRPr="0015613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>при припиненні</w:t>
            </w:r>
            <w:r w:rsidRPr="0015613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 діяльності, </w:t>
            </w:r>
            <w:r w:rsidRPr="0015613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  <w:t xml:space="preserve">пов’язаної з виконанням функцій держави або місцевого самоврядування подати декларацію </w:t>
            </w:r>
            <w:r w:rsidRPr="0015613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за період, не охоплен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ий раніше поданими деклараціями;</w:t>
            </w:r>
          </w:p>
          <w:p w:rsidR="00156138" w:rsidRPr="00D77E50" w:rsidRDefault="00156138" w:rsidP="00156138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  <w:t xml:space="preserve">- </w:t>
            </w:r>
            <w:r w:rsidRPr="0015613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наступного року після припинення діяльності</w:t>
            </w:r>
            <w:r w:rsidRPr="0015613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  <w:t xml:space="preserve"> подати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  <w:t>декларацію</w:t>
            </w:r>
            <w:r w:rsidRPr="0015613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  <w:t>, за минулий рік.</w:t>
            </w:r>
          </w:p>
        </w:tc>
        <w:tc>
          <w:tcPr>
            <w:tcW w:w="52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6138" w:rsidRPr="00156138" w:rsidRDefault="00156138" w:rsidP="003127CD">
            <w:pPr>
              <w:spacing w:after="0" w:line="200" w:lineRule="atLeast"/>
              <w:ind w:right="63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</w:pPr>
            <w:r w:rsidRPr="0015613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>ДОЗВОЛЯЄТЬСЯ</w:t>
            </w:r>
          </w:p>
          <w:p w:rsidR="00156138" w:rsidRDefault="00156138" w:rsidP="00156138">
            <w:pPr>
              <w:spacing w:after="0" w:line="200" w:lineRule="atLeast"/>
              <w:ind w:right="63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у</w:t>
            </w:r>
            <w:r w:rsidRPr="001561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продовж семи днів після подання декларації подати виправлену декларацію.</w:t>
            </w:r>
          </w:p>
        </w:tc>
      </w:tr>
      <w:tr w:rsidR="003E3437" w:rsidRPr="00D77E50" w:rsidTr="00E2278A">
        <w:trPr>
          <w:trHeight w:val="142"/>
        </w:trPr>
        <w:tc>
          <w:tcPr>
            <w:tcW w:w="1713" w:type="dxa"/>
            <w:vMerge/>
            <w:shd w:val="clear" w:color="auto" w:fill="FFFFFF"/>
            <w:vAlign w:val="center"/>
            <w:hideMark/>
          </w:tcPr>
          <w:p w:rsidR="003E3437" w:rsidRPr="00D77E50" w:rsidRDefault="003E3437" w:rsidP="00D77E50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32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387" w:rsidRDefault="00285387" w:rsidP="0028538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НЕОБХІДНО</w:t>
            </w:r>
          </w:p>
          <w:p w:rsidR="003E3437" w:rsidRPr="00285387" w:rsidRDefault="00285387" w:rsidP="0028538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28538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>у разі притягнення до відповідальності</w:t>
            </w:r>
            <w:r w:rsidRPr="002853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за неподання, несвоєчасне подання декларації або в разі виявлення у ній недостовірних відомостей </w:t>
            </w:r>
            <w:r w:rsidRPr="0028538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>подати</w:t>
            </w:r>
            <w:r w:rsidRPr="002853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відповідну </w:t>
            </w:r>
            <w:r w:rsidRPr="0028538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>декларацію з достовірними відомостями</w:t>
            </w:r>
          </w:p>
        </w:tc>
        <w:tc>
          <w:tcPr>
            <w:tcW w:w="52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3437" w:rsidRPr="00D77E50" w:rsidRDefault="003E3437" w:rsidP="00D77E50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</w:tr>
      <w:tr w:rsidR="00285387" w:rsidRPr="00D77E50" w:rsidTr="00E2278A">
        <w:trPr>
          <w:trHeight w:val="142"/>
        </w:trPr>
        <w:tc>
          <w:tcPr>
            <w:tcW w:w="1713" w:type="dxa"/>
            <w:vMerge/>
            <w:shd w:val="clear" w:color="auto" w:fill="FFFFFF"/>
            <w:vAlign w:val="center"/>
          </w:tcPr>
          <w:p w:rsidR="00285387" w:rsidRPr="00D77E50" w:rsidRDefault="00285387" w:rsidP="00D77E50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32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85387" w:rsidRPr="005A7EFE" w:rsidRDefault="00285387" w:rsidP="0028538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aps/>
                <w:color w:val="333333"/>
                <w:sz w:val="20"/>
                <w:szCs w:val="20"/>
                <w:lang w:val="uk-UA" w:eastAsia="ru-RU"/>
              </w:rPr>
            </w:pPr>
            <w:r w:rsidRPr="005A7EFE"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20"/>
                <w:szCs w:val="20"/>
                <w:lang w:val="uk-UA" w:eastAsia="ru-RU"/>
              </w:rPr>
              <w:t>необхідно</w:t>
            </w:r>
          </w:p>
          <w:p w:rsidR="00285387" w:rsidRPr="00D77E50" w:rsidRDefault="00285387" w:rsidP="0028538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у разі 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відкриття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декларантом або членом сім</w:t>
            </w:r>
            <w:r w:rsidRPr="003E34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ї 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валютного рахунку в установі банку-нерезидента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 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в 10-денний строк письмово повідомити про це податкові органи.</w:t>
            </w:r>
          </w:p>
        </w:tc>
        <w:tc>
          <w:tcPr>
            <w:tcW w:w="52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85387" w:rsidRPr="00D77E50" w:rsidRDefault="00285387" w:rsidP="00D77E50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</w:tr>
      <w:tr w:rsidR="00285387" w:rsidRPr="00D77E50" w:rsidTr="00E2278A">
        <w:trPr>
          <w:trHeight w:val="1281"/>
        </w:trPr>
        <w:tc>
          <w:tcPr>
            <w:tcW w:w="171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72B" w:rsidRPr="00D77E50" w:rsidRDefault="00C3272B" w:rsidP="00C3272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Вимоги щодо прозорості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та доступу до 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інформації</w:t>
            </w:r>
          </w:p>
          <w:p w:rsidR="00285387" w:rsidRPr="00D77E50" w:rsidRDefault="00C3272B" w:rsidP="00C3272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(ст.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60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32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85387" w:rsidRPr="00D77E50" w:rsidRDefault="00285387" w:rsidP="0028538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Забороняється</w:t>
            </w:r>
          </w:p>
          <w:p w:rsidR="00285387" w:rsidRPr="00285387" w:rsidRDefault="00285387" w:rsidP="00285387"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Відмовляти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 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фізичним або юридичним особам 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в інформації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, надання якої передбачено законом.</w:t>
            </w:r>
          </w:p>
        </w:tc>
        <w:tc>
          <w:tcPr>
            <w:tcW w:w="5212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72B" w:rsidRPr="00D77E50" w:rsidRDefault="00C3272B" w:rsidP="00C3272B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Забороняється</w:t>
            </w:r>
          </w:p>
          <w:p w:rsidR="00C3272B" w:rsidRPr="00D77E50" w:rsidRDefault="00C3272B" w:rsidP="00C3272B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відносити до інформації з обмеженим доступом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 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інформацію про:</w:t>
            </w:r>
          </w:p>
          <w:p w:rsidR="00C3272B" w:rsidRPr="00D77E50" w:rsidRDefault="00C3272B" w:rsidP="00C3272B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– розміри, види 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благодійної та іншої допомоги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, що надається чи одержується;</w:t>
            </w:r>
          </w:p>
          <w:p w:rsidR="00C3272B" w:rsidRPr="00E970B9" w:rsidRDefault="00C3272B" w:rsidP="00C3272B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– 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розміри, види оплати праці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, </w:t>
            </w:r>
            <w:r w:rsidRPr="00E970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матеріальної допомоги</w:t>
            </w:r>
            <w:r w:rsidRPr="00E970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та будь-яких інших виплат з бюджету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</w:p>
          <w:p w:rsidR="00C3272B" w:rsidRPr="00D77E50" w:rsidRDefault="00C3272B" w:rsidP="00C3272B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– 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інформацію за правочинами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, які підлягають обов'язковій державній реєстрації;</w:t>
            </w:r>
          </w:p>
          <w:p w:rsidR="00285387" w:rsidRPr="00D77E50" w:rsidRDefault="00C3272B" w:rsidP="005A7EFE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– 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інформацію про дарунки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.</w:t>
            </w:r>
          </w:p>
        </w:tc>
      </w:tr>
      <w:tr w:rsidR="003E3437" w:rsidRPr="00D77E50" w:rsidTr="00E2278A">
        <w:trPr>
          <w:trHeight w:val="142"/>
        </w:trPr>
        <w:tc>
          <w:tcPr>
            <w:tcW w:w="1713" w:type="dxa"/>
            <w:vMerge/>
            <w:shd w:val="clear" w:color="auto" w:fill="FFFFFF"/>
            <w:vAlign w:val="center"/>
            <w:hideMark/>
          </w:tcPr>
          <w:p w:rsidR="003E3437" w:rsidRPr="00D77E50" w:rsidRDefault="003E3437" w:rsidP="00D77E50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32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85387" w:rsidRPr="00D77E50" w:rsidRDefault="00285387" w:rsidP="0028538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Забороняється</w:t>
            </w:r>
          </w:p>
          <w:p w:rsidR="003E3437" w:rsidRPr="00D77E50" w:rsidRDefault="00285387" w:rsidP="0028538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надавати несвоєчасно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, недостовірну чи не в повному обсязі інформацію, яка підлягає наданню відповідно до закону</w:t>
            </w:r>
          </w:p>
        </w:tc>
        <w:tc>
          <w:tcPr>
            <w:tcW w:w="5212" w:type="dxa"/>
            <w:vMerge/>
            <w:shd w:val="clear" w:color="auto" w:fill="FFFFFF"/>
            <w:vAlign w:val="center"/>
            <w:hideMark/>
          </w:tcPr>
          <w:p w:rsidR="003E3437" w:rsidRPr="00D77E50" w:rsidRDefault="003E3437" w:rsidP="00D77E50">
            <w:pPr>
              <w:spacing w:after="0" w:line="200" w:lineRule="atLeast"/>
              <w:ind w:right="6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ru-RU"/>
              </w:rPr>
            </w:pPr>
          </w:p>
        </w:tc>
      </w:tr>
      <w:tr w:rsidR="00AB029C" w:rsidRPr="00D77E50" w:rsidTr="00E2278A">
        <w:trPr>
          <w:trHeight w:val="2245"/>
        </w:trPr>
        <w:tc>
          <w:tcPr>
            <w:tcW w:w="17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29C" w:rsidRPr="00D77E50" w:rsidRDefault="00AB029C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Заборона одержувати від фізичних, юридичних осіб безоплатно послуги та майно</w:t>
            </w:r>
          </w:p>
          <w:p w:rsidR="00AB029C" w:rsidRPr="00D77E50" w:rsidRDefault="00AB029C" w:rsidP="00E970B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(ст.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54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320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29C" w:rsidRPr="00D77E50" w:rsidRDefault="00AB029C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забороняється</w:t>
            </w:r>
          </w:p>
          <w:p w:rsidR="00AB029C" w:rsidRPr="00D77E50" w:rsidRDefault="00AB029C" w:rsidP="00D77E5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о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рганам державної влади, органам місцевого самоврядування 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одержувати від фізичних, юридичних осіб безоплатно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грошові кошти </w:t>
            </w:r>
            <w:r w:rsidRPr="00E970B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або інше майно, нематеріальні активи, майнові переваги, пільги чи послуги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2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029C" w:rsidRDefault="00AB029C" w:rsidP="00D77E50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ДОЗВОЛЯЄТЬСЯ</w:t>
            </w:r>
          </w:p>
          <w:p w:rsidR="00AB029C" w:rsidRPr="003E3437" w:rsidRDefault="00AB029C" w:rsidP="00D77E50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3E343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uk-UA" w:eastAsia="ru-RU"/>
              </w:rPr>
              <w:t>у випадках, передбачених законами або чинними міжнародними договорами</w:t>
            </w:r>
          </w:p>
          <w:p w:rsidR="00AB029C" w:rsidRPr="00D77E50" w:rsidRDefault="00AB029C" w:rsidP="00D77E50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(наприклад, 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одержувати </w:t>
            </w:r>
            <w:r w:rsidRPr="00D77E5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благодійну допомогу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 xml:space="preserve"> </w:t>
            </w:r>
            <w:r w:rsidRPr="00D77E5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з дотриманням вимог Закону України "Про благодійництво та благодійні організації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)</w:t>
            </w:r>
          </w:p>
          <w:p w:rsidR="00AB029C" w:rsidRPr="00D77E50" w:rsidRDefault="00AB029C" w:rsidP="00D77E50">
            <w:pPr>
              <w:spacing w:after="0" w:line="200" w:lineRule="atLeast"/>
              <w:ind w:right="6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</w:tr>
    </w:tbl>
    <w:p w:rsidR="00014CA5" w:rsidRPr="00D77E50" w:rsidRDefault="00014CA5" w:rsidP="00AB029C">
      <w:pPr>
        <w:shd w:val="clear" w:color="auto" w:fill="FFFFFF"/>
        <w:spacing w:after="0" w:line="351" w:lineRule="atLeast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</w:p>
    <w:sectPr w:rsidR="00014CA5" w:rsidRPr="00D77E50" w:rsidSect="005A7EF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5D7"/>
    <w:multiLevelType w:val="hybridMultilevel"/>
    <w:tmpl w:val="B50653CA"/>
    <w:lvl w:ilvl="0" w:tplc="4CA81A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349C6"/>
    <w:multiLevelType w:val="hybridMultilevel"/>
    <w:tmpl w:val="8C1A5CAA"/>
    <w:lvl w:ilvl="0" w:tplc="F0AA721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434AC"/>
    <w:multiLevelType w:val="hybridMultilevel"/>
    <w:tmpl w:val="7004B956"/>
    <w:lvl w:ilvl="0" w:tplc="99D27A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02E735E"/>
    <w:multiLevelType w:val="hybridMultilevel"/>
    <w:tmpl w:val="C0E8F974"/>
    <w:lvl w:ilvl="0" w:tplc="4A8EAC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12B20"/>
    <w:multiLevelType w:val="hybridMultilevel"/>
    <w:tmpl w:val="3B50F306"/>
    <w:lvl w:ilvl="0" w:tplc="72C42B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C5D0D"/>
    <w:multiLevelType w:val="hybridMultilevel"/>
    <w:tmpl w:val="8BC0CEDE"/>
    <w:lvl w:ilvl="0" w:tplc="FCA268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D4"/>
    <w:rsid w:val="00014CA5"/>
    <w:rsid w:val="00036957"/>
    <w:rsid w:val="000F355D"/>
    <w:rsid w:val="00121C55"/>
    <w:rsid w:val="00156138"/>
    <w:rsid w:val="001B36D4"/>
    <w:rsid w:val="00264746"/>
    <w:rsid w:val="002678C1"/>
    <w:rsid w:val="00285387"/>
    <w:rsid w:val="002F3291"/>
    <w:rsid w:val="003127CD"/>
    <w:rsid w:val="003A1750"/>
    <w:rsid w:val="003B2209"/>
    <w:rsid w:val="003E3437"/>
    <w:rsid w:val="00583716"/>
    <w:rsid w:val="005A7EFE"/>
    <w:rsid w:val="005C097A"/>
    <w:rsid w:val="0070187F"/>
    <w:rsid w:val="00846F32"/>
    <w:rsid w:val="00894C00"/>
    <w:rsid w:val="008F2E7D"/>
    <w:rsid w:val="009E3F04"/>
    <w:rsid w:val="009F7C53"/>
    <w:rsid w:val="00A302EF"/>
    <w:rsid w:val="00A77C80"/>
    <w:rsid w:val="00AB029C"/>
    <w:rsid w:val="00B346EB"/>
    <w:rsid w:val="00C079BA"/>
    <w:rsid w:val="00C3272B"/>
    <w:rsid w:val="00D77E50"/>
    <w:rsid w:val="00D9477C"/>
    <w:rsid w:val="00DB558F"/>
    <w:rsid w:val="00E2278A"/>
    <w:rsid w:val="00E9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4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1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CA5"/>
    <w:rPr>
      <w:b/>
      <w:bCs/>
    </w:rPr>
  </w:style>
  <w:style w:type="character" w:customStyle="1" w:styleId="apple-converted-space">
    <w:name w:val="apple-converted-space"/>
    <w:basedOn w:val="a0"/>
    <w:rsid w:val="00014CA5"/>
  </w:style>
  <w:style w:type="character" w:styleId="a5">
    <w:name w:val="Emphasis"/>
    <w:basedOn w:val="a0"/>
    <w:uiPriority w:val="20"/>
    <w:qFormat/>
    <w:rsid w:val="00014CA5"/>
    <w:rPr>
      <w:i/>
      <w:iCs/>
    </w:rPr>
  </w:style>
  <w:style w:type="paragraph" w:styleId="a6">
    <w:name w:val="List Paragraph"/>
    <w:basedOn w:val="a"/>
    <w:uiPriority w:val="34"/>
    <w:qFormat/>
    <w:rsid w:val="00A77C8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7C8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4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1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CA5"/>
    <w:rPr>
      <w:b/>
      <w:bCs/>
    </w:rPr>
  </w:style>
  <w:style w:type="character" w:customStyle="1" w:styleId="apple-converted-space">
    <w:name w:val="apple-converted-space"/>
    <w:basedOn w:val="a0"/>
    <w:rsid w:val="00014CA5"/>
  </w:style>
  <w:style w:type="character" w:styleId="a5">
    <w:name w:val="Emphasis"/>
    <w:basedOn w:val="a0"/>
    <w:uiPriority w:val="20"/>
    <w:qFormat/>
    <w:rsid w:val="00014CA5"/>
    <w:rPr>
      <w:i/>
      <w:iCs/>
    </w:rPr>
  </w:style>
  <w:style w:type="paragraph" w:styleId="a6">
    <w:name w:val="List Paragraph"/>
    <w:basedOn w:val="a"/>
    <w:uiPriority w:val="34"/>
    <w:qFormat/>
    <w:rsid w:val="00A77C8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7C8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195-2011-%D0%BF/paran76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4.rada.gov.ua/laws/show/1700-1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5.rada.gov.ua/laws/show/254%D0%BA/96-%D0%B2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1700-18/paran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9A00-F936-467D-B2C6-CD758107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Microlab</dc:creator>
  <cp:keywords/>
  <dc:description/>
  <cp:lastModifiedBy>Microlab</cp:lastModifiedBy>
  <cp:revision>15</cp:revision>
  <cp:lastPrinted>2016-04-13T10:35:00Z</cp:lastPrinted>
  <dcterms:created xsi:type="dcterms:W3CDTF">2016-02-22T07:00:00Z</dcterms:created>
  <dcterms:modified xsi:type="dcterms:W3CDTF">2016-04-13T10:36:00Z</dcterms:modified>
</cp:coreProperties>
</file>